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419A" w:rsidRDefault="0021419A" w:rsidP="0021419A">
      <w:pPr>
        <w:pStyle w:val="Attachmenthead"/>
        <w:rPr>
          <w:rFonts w:ascii="Arial-BoldMT" w:hAnsi="Arial-BoldMT" w:cs="Arial-BoldMT"/>
          <w:b/>
          <w:bCs/>
        </w:rPr>
      </w:pPr>
      <w:r>
        <w:rPr>
          <w:rFonts w:ascii="Arial-BoldMT" w:hAnsi="Arial-BoldMT" w:cs="Arial-BoldMT"/>
          <w:b/>
          <w:bCs/>
        </w:rPr>
        <w:t>attachment 86</w:t>
      </w:r>
    </w:p>
    <w:p w:rsidR="0021419A" w:rsidRDefault="0021419A" w:rsidP="0021419A">
      <w:pPr>
        <w:pStyle w:val="Attachmentname"/>
        <w:rPr>
          <w:rFonts w:ascii="ArialMT" w:hAnsi="ArialMT" w:cs="ArialMT"/>
        </w:rPr>
      </w:pPr>
      <w:r>
        <w:rPr>
          <w:rFonts w:ascii="ArialMT" w:hAnsi="ArialMT" w:cs="ArialMT"/>
        </w:rPr>
        <w:t>Checklist for daily inspections</w:t>
      </w:r>
    </w:p>
    <w:p w:rsidR="0021419A" w:rsidRDefault="0021419A" w:rsidP="00A031E5"/>
    <w:p w:rsidR="0021419A" w:rsidRDefault="0021419A" w:rsidP="0021419A">
      <w:pPr>
        <w:pStyle w:val="HeadD"/>
        <w:rPr>
          <w:rFonts w:ascii="Arial-BoldMT" w:hAnsi="Arial-BoldMT" w:cs="Arial-BoldMT"/>
          <w:b/>
          <w:bCs/>
        </w:rPr>
      </w:pPr>
      <w:r>
        <w:rPr>
          <w:rFonts w:ascii="Arial-BoldMT" w:hAnsi="Arial-BoldMT" w:cs="Arial-BoldMT"/>
          <w:b/>
          <w:bCs/>
        </w:rPr>
        <w:t>Recommended Instructions</w:t>
      </w:r>
    </w:p>
    <w:p w:rsidR="0021419A" w:rsidRDefault="0021419A" w:rsidP="0021419A">
      <w:pPr>
        <w:pStyle w:val="Copybullet"/>
        <w:rPr>
          <w:rFonts w:ascii="ArialMT" w:hAnsi="ArialMT" w:cs="ArialMT"/>
        </w:rPr>
      </w:pPr>
      <w:r>
        <w:rPr>
          <w:rStyle w:val="Copyreg"/>
          <w:rFonts w:ascii="ArialMT" w:hAnsi="ArialMT" w:cs="ArialMT"/>
        </w:rPr>
        <w:t>1</w:t>
      </w:r>
      <w:r>
        <w:rPr>
          <w:rFonts w:ascii="ArialMT" w:hAnsi="ArialMT" w:cs="ArialMT"/>
        </w:rPr>
        <w:tab/>
        <w:t xml:space="preserve">Daily checklists are to be completed by employees and forwarded to employer and kept on file. </w:t>
      </w:r>
    </w:p>
    <w:p w:rsidR="0021419A" w:rsidRDefault="0021419A" w:rsidP="0021419A">
      <w:pPr>
        <w:pStyle w:val="Copybullet"/>
        <w:ind w:left="198" w:hanging="198"/>
        <w:rPr>
          <w:rFonts w:ascii="ArialMT" w:hAnsi="ArialMT" w:cs="ArialMT"/>
        </w:rPr>
      </w:pPr>
      <w:r>
        <w:rPr>
          <w:rStyle w:val="Copyreg"/>
          <w:rFonts w:ascii="ArialMT" w:hAnsi="ArialMT" w:cs="ArialMT"/>
        </w:rPr>
        <w:t>2</w:t>
      </w:r>
      <w:r>
        <w:rPr>
          <w:rFonts w:ascii="ArialMT" w:hAnsi="ArialMT" w:cs="ArialMT"/>
        </w:rPr>
        <w:tab/>
        <w:t xml:space="preserve">For items requiring prompt follow up, the employees who conducted inspection must ring an employer representative to determine corrective action required by whom. This follow up will include further consultation with staff, and at minimum feedback to them confirming corrective action timeline and agreed action parties. </w:t>
      </w:r>
    </w:p>
    <w:p w:rsidR="0021419A" w:rsidRDefault="0021419A" w:rsidP="0021419A">
      <w:pPr>
        <w:pStyle w:val="Copybullet"/>
        <w:ind w:left="198" w:hanging="198"/>
        <w:rPr>
          <w:rFonts w:ascii="ArialMT" w:hAnsi="ArialMT" w:cs="ArialMT"/>
        </w:rPr>
      </w:pPr>
      <w:r>
        <w:rPr>
          <w:rStyle w:val="Copyreg"/>
          <w:rFonts w:ascii="ArialMT" w:hAnsi="ArialMT" w:cs="ArialMT"/>
        </w:rPr>
        <w:t>3</w:t>
      </w:r>
      <w:r>
        <w:rPr>
          <w:rFonts w:ascii="ArialMT" w:hAnsi="ArialMT" w:cs="ArialMT"/>
        </w:rPr>
        <w:tab/>
        <w:t xml:space="preserve">At each Employer Management Meeting the employer is to review whether these daily checklists are </w:t>
      </w:r>
      <w:r>
        <w:rPr>
          <w:rFonts w:ascii="ArialMT" w:hAnsi="ArialMT" w:cs="ArialMT"/>
        </w:rPr>
        <w:br/>
        <w:t xml:space="preserve">being completed, encourage employees to continue these inspections, and keep a record in the minutes </w:t>
      </w:r>
      <w:r>
        <w:rPr>
          <w:rFonts w:ascii="ArialMT" w:hAnsi="ArialMT" w:cs="ArialMT"/>
        </w:rPr>
        <w:br/>
        <w:t>of outstanding corrective action required and how many daily checklists completed since the last meeting compared to target level.</w:t>
      </w:r>
    </w:p>
    <w:p w:rsidR="0021419A" w:rsidRDefault="0021419A" w:rsidP="0021419A">
      <w:pPr>
        <w:pStyle w:val="Copylastbullet"/>
        <w:spacing w:after="227"/>
        <w:ind w:left="198" w:hanging="198"/>
        <w:rPr>
          <w:rFonts w:ascii="ArialMT" w:hAnsi="ArialMT" w:cs="ArialMT"/>
        </w:rPr>
      </w:pPr>
      <w:r>
        <w:rPr>
          <w:rStyle w:val="Copyreg"/>
          <w:rFonts w:ascii="ArialMT" w:hAnsi="ArialMT" w:cs="ArialMT"/>
        </w:rPr>
        <w:t>4</w:t>
      </w:r>
      <w:r>
        <w:rPr>
          <w:rFonts w:ascii="ArialMT" w:hAnsi="ArialMT" w:cs="ArialMT"/>
        </w:rPr>
        <w:tab/>
      </w:r>
      <w:r>
        <w:rPr>
          <w:rFonts w:ascii="ArialMT" w:hAnsi="ArialMT" w:cs="ArialMT"/>
          <w:spacing w:val="-3"/>
        </w:rPr>
        <w:t xml:space="preserve">Where the employer is not sure of what to do, please follow guidance in Service OHS Issue </w:t>
      </w:r>
      <w:r>
        <w:rPr>
          <w:rFonts w:ascii="ArialMT" w:hAnsi="ArialMT" w:cs="ArialMT"/>
          <w:spacing w:val="-3"/>
        </w:rPr>
        <w:br/>
        <w:t>Resolution Procedure.</w:t>
      </w:r>
    </w:p>
    <w:p w:rsidR="0021419A" w:rsidRDefault="0021419A" w:rsidP="0021419A">
      <w:pPr>
        <w:pStyle w:val="HeadC"/>
        <w:spacing w:after="227"/>
        <w:rPr>
          <w:rFonts w:ascii="Arial-BoldMT" w:hAnsi="Arial-BoldMT" w:cs="Arial-BoldMT"/>
          <w:b/>
          <w:bCs/>
        </w:rPr>
      </w:pPr>
    </w:p>
    <w:p w:rsidR="0021419A" w:rsidRDefault="0021419A" w:rsidP="0021419A">
      <w:pPr>
        <w:pStyle w:val="HeadC"/>
        <w:spacing w:after="227"/>
        <w:rPr>
          <w:rFonts w:ascii="Arial-BoldMT" w:hAnsi="Arial-BoldMT" w:cs="Arial-BoldMT"/>
          <w:b/>
          <w:bCs/>
        </w:rPr>
      </w:pPr>
      <w:r>
        <w:rPr>
          <w:rFonts w:ascii="Arial-BoldMT" w:hAnsi="Arial-BoldMT" w:cs="Arial-BoldMT"/>
          <w:b/>
          <w:bCs/>
        </w:rPr>
        <w:t>safety checklist for daily inspections</w:t>
      </w:r>
    </w:p>
    <w:p w:rsidR="0021419A" w:rsidRDefault="0021419A" w:rsidP="0021419A">
      <w:pPr>
        <w:pStyle w:val="Copy"/>
        <w:tabs>
          <w:tab w:val="left" w:pos="1560"/>
          <w:tab w:val="left" w:pos="6500"/>
          <w:tab w:val="left" w:pos="7100"/>
        </w:tabs>
        <w:spacing w:after="227"/>
        <w:rPr>
          <w:rStyle w:val="Copyreg"/>
          <w:rFonts w:ascii="ArialMT" w:hAnsi="ArialMT" w:cs="ArialMT"/>
        </w:rPr>
      </w:pPr>
      <w:r w:rsidRPr="0021419A">
        <w:rPr>
          <w:rStyle w:val="Copyreg"/>
          <w:rFonts w:ascii="Arial" w:hAnsi="Arial" w:cs="ArialMT"/>
          <w:b/>
        </w:rPr>
        <w:t>Name of service:</w:t>
      </w:r>
      <w:r>
        <w:rPr>
          <w:rStyle w:val="Copyreg"/>
          <w:rFonts w:ascii="Arial" w:hAnsi="Arial" w:cs="ArialMT"/>
          <w:b/>
        </w:rPr>
        <w:t xml:space="preserve"> </w:t>
      </w:r>
      <w:r>
        <w:rPr>
          <w:rStyle w:val="Copyreg"/>
          <w:rFonts w:ascii="ArialMT" w:hAnsi="ArialMT" w:cs="ArialMT"/>
        </w:rPr>
        <w:t>………………………………………………………………</w:t>
      </w:r>
      <w:r>
        <w:rPr>
          <w:rStyle w:val="Copyreg"/>
          <w:rFonts w:ascii="ArialMT" w:hAnsi="ArialMT" w:cs="ArialMT"/>
        </w:rPr>
        <w:tab/>
      </w:r>
      <w:r w:rsidRPr="0021419A">
        <w:rPr>
          <w:rStyle w:val="Copyreg"/>
          <w:rFonts w:ascii="Arial" w:hAnsi="Arial" w:cs="ArialMT"/>
          <w:b/>
        </w:rPr>
        <w:t>Date:</w:t>
      </w:r>
      <w:r>
        <w:rPr>
          <w:rStyle w:val="Copyreg"/>
          <w:rFonts w:ascii="ArialMT" w:hAnsi="ArialMT" w:cs="ArialMT"/>
        </w:rPr>
        <w:t xml:space="preserve"> …………………………………</w:t>
      </w:r>
    </w:p>
    <w:p w:rsidR="0021419A" w:rsidRDefault="0021419A" w:rsidP="0021419A">
      <w:pPr>
        <w:pStyle w:val="Copy"/>
        <w:tabs>
          <w:tab w:val="left" w:pos="2300"/>
        </w:tabs>
        <w:spacing w:after="240"/>
        <w:rPr>
          <w:rFonts w:ascii="ArialMT" w:hAnsi="ArialMT" w:cs="ArialMT"/>
        </w:rPr>
      </w:pPr>
      <w:r w:rsidRPr="0021419A">
        <w:rPr>
          <w:rStyle w:val="Copyreg"/>
          <w:rFonts w:ascii="Arial" w:hAnsi="Arial" w:cs="ArialMT"/>
          <w:b/>
        </w:rPr>
        <w:t>Inspection conducted by:</w:t>
      </w:r>
      <w:r>
        <w:rPr>
          <w:rStyle w:val="Copyreg"/>
          <w:rFonts w:ascii="ArialMT" w:hAnsi="ArialMT" w:cs="ArialMT"/>
        </w:rPr>
        <w:t xml:space="preserve"> ……………………………………………………………………………………………….</w:t>
      </w:r>
    </w:p>
    <w:p w:rsidR="0021419A" w:rsidRDefault="0021419A" w:rsidP="0021419A">
      <w:pPr>
        <w:pStyle w:val="Copy"/>
        <w:spacing w:after="360"/>
        <w:rPr>
          <w:rFonts w:ascii="ArialMT" w:hAnsi="ArialMT" w:cs="ArialMT"/>
        </w:rPr>
      </w:pPr>
      <w:r>
        <w:rPr>
          <w:rFonts w:ascii="ArialMT" w:hAnsi="ArialMT" w:cs="ArialMT"/>
        </w:rPr>
        <w:t xml:space="preserve">The following items need to be checked daily prior to the children’s attendance at the service. This will include walking around the perimeter fence of the playground. </w:t>
      </w:r>
      <w:r w:rsidRPr="0021419A">
        <w:rPr>
          <w:rFonts w:ascii="Arial" w:hAnsi="Arial" w:cs="ArialMT"/>
          <w:b/>
        </w:rPr>
        <w:t>(</w:t>
      </w:r>
      <w:r w:rsidRPr="0021419A">
        <w:rPr>
          <w:rStyle w:val="Copyreg"/>
          <w:rFonts w:ascii="Arial" w:hAnsi="Arial" w:cs="ArialMT"/>
          <w:b/>
        </w:rPr>
        <w:t xml:space="preserve">Some services will need to modify their checklists </w:t>
      </w:r>
      <w:r w:rsidRPr="0021419A">
        <w:rPr>
          <w:rStyle w:val="Copyreg"/>
          <w:rFonts w:ascii="Arial" w:hAnsi="Arial" w:cs="ArialMT"/>
          <w:b/>
        </w:rPr>
        <w:br/>
        <w:t>in order to cater for the particular needs of their service</w:t>
      </w:r>
      <w:r w:rsidRPr="0021419A">
        <w:rPr>
          <w:rFonts w:ascii="Arial" w:hAnsi="Arial" w:cs="ArialMT"/>
          <w:b/>
        </w:rPr>
        <w:t>).</w:t>
      </w:r>
    </w:p>
    <w:tbl>
      <w:tblPr>
        <w:tblW w:w="9656" w:type="dxa"/>
        <w:tblInd w:w="8" w:type="dxa"/>
        <w:tblLayout w:type="fixed"/>
        <w:tblCellMar>
          <w:left w:w="0" w:type="dxa"/>
          <w:right w:w="0" w:type="dxa"/>
        </w:tblCellMar>
        <w:tblLook w:val="0000"/>
      </w:tblPr>
      <w:tblGrid>
        <w:gridCol w:w="8504"/>
        <w:gridCol w:w="1152"/>
      </w:tblGrid>
      <w:tr w:rsidR="0021419A" w:rsidTr="0021419A">
        <w:tblPrEx>
          <w:tblCellMar>
            <w:top w:w="0" w:type="dxa"/>
            <w:left w:w="0" w:type="dxa"/>
            <w:bottom w:w="0" w:type="dxa"/>
            <w:right w:w="0" w:type="dxa"/>
          </w:tblCellMar>
        </w:tblPrEx>
        <w:trPr>
          <w:trHeight w:val="60"/>
        </w:trPr>
        <w:tc>
          <w:tcPr>
            <w:tcW w:w="8504" w:type="dxa"/>
            <w:tcBorders>
              <w:top w:val="single" w:sz="4"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Pr="0021419A" w:rsidRDefault="0021419A">
            <w:pPr>
              <w:pStyle w:val="Copy"/>
              <w:rPr>
                <w:rFonts w:ascii="Arial" w:hAnsi="Arial"/>
                <w:b/>
              </w:rPr>
            </w:pPr>
            <w:r w:rsidRPr="0021419A">
              <w:rPr>
                <w:rStyle w:val="Copyreg"/>
                <w:rFonts w:ascii="Arial" w:hAnsi="Arial" w:cs="ArialMT"/>
                <w:b/>
              </w:rPr>
              <w:t>Outside</w:t>
            </w:r>
          </w:p>
        </w:tc>
        <w:tc>
          <w:tcPr>
            <w:tcW w:w="1152" w:type="dxa"/>
            <w:tcBorders>
              <w:top w:val="single" w:sz="4"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NoParagraphStyle"/>
              <w:spacing w:line="240" w:lineRule="auto"/>
              <w:textAlignment w:val="auto"/>
              <w:rPr>
                <w:rFonts w:ascii="Arial-BoldMT" w:hAnsi="Arial-BoldMT" w:cs="Times New Roman"/>
                <w:color w:val="auto"/>
                <w:lang w:val="en-US"/>
              </w:rPr>
            </w:pP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 xml:space="preserve">Fencing is secure and unscalable. (No breaches in the fence or materials left nearby </w:t>
            </w:r>
            <w:r>
              <w:rPr>
                <w:rFonts w:ascii="ArialMT" w:hAnsi="ArialMT" w:cs="ArialMT"/>
              </w:rPr>
              <w:br/>
              <w:t>that would assist children to scale the fence.)</w:t>
            </w:r>
          </w:p>
        </w:tc>
        <w:tc>
          <w:tcPr>
            <w:tcW w:w="1152"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Gates are secure and cannot be opened by children.</w:t>
            </w:r>
          </w:p>
        </w:tc>
        <w:tc>
          <w:tcPr>
            <w:tcW w:w="1152"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 xml:space="preserve">Playground is free of syringes and other material that may have been left in the playground </w:t>
            </w:r>
            <w:r>
              <w:rPr>
                <w:rFonts w:ascii="ArialMT" w:hAnsi="ArialMT" w:cs="ArialMT"/>
              </w:rPr>
              <w:br/>
              <w:t xml:space="preserve">overnight, with special attention given to the area next to the perimeter fence, enclosed </w:t>
            </w:r>
            <w:r>
              <w:rPr>
                <w:rFonts w:ascii="ArialMT" w:hAnsi="ArialMT" w:cs="ArialMT"/>
              </w:rPr>
              <w:br/>
              <w:t>areas and sandpit, if left uncovered.</w:t>
            </w:r>
          </w:p>
        </w:tc>
        <w:tc>
          <w:tcPr>
            <w:tcW w:w="1152"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Sandpit checked if uncovered or if covering is breached to ensure it is free of animal faeces.</w:t>
            </w:r>
          </w:p>
        </w:tc>
        <w:tc>
          <w:tcPr>
            <w:tcW w:w="1152"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Paths and paving surfaces are free of slipping hazards e.g. sand.</w:t>
            </w:r>
          </w:p>
        </w:tc>
        <w:tc>
          <w:tcPr>
            <w:tcW w:w="1152"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Soft-fall and grassed areas are free from hazards.</w:t>
            </w:r>
          </w:p>
        </w:tc>
        <w:tc>
          <w:tcPr>
            <w:tcW w:w="1152"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bl>
    <w:p w:rsidR="0021419A" w:rsidRDefault="0021419A"/>
    <w:tbl>
      <w:tblPr>
        <w:tblW w:w="9656" w:type="dxa"/>
        <w:tblInd w:w="8" w:type="dxa"/>
        <w:tblLayout w:type="fixed"/>
        <w:tblCellMar>
          <w:left w:w="0" w:type="dxa"/>
          <w:right w:w="0" w:type="dxa"/>
        </w:tblCellMar>
        <w:tblLook w:val="0000"/>
      </w:tblPr>
      <w:tblGrid>
        <w:gridCol w:w="8504"/>
        <w:gridCol w:w="1152"/>
      </w:tblGrid>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Tyres and other equipment with recessed areas are free of snakes and spiders.</w:t>
            </w:r>
          </w:p>
        </w:tc>
        <w:tc>
          <w:tcPr>
            <w:tcW w:w="1152"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r w:rsidR="0021419A" w:rsidTr="0021419A">
        <w:tblPrEx>
          <w:tblCellMar>
            <w:top w:w="0" w:type="dxa"/>
            <w:left w:w="0" w:type="dxa"/>
            <w:bottom w:w="0" w:type="dxa"/>
            <w:right w:w="0" w:type="dxa"/>
          </w:tblCellMar>
        </w:tblPrEx>
        <w:trPr>
          <w:trHeight w:val="60"/>
        </w:trPr>
        <w:tc>
          <w:tcPr>
            <w:tcW w:w="8504" w:type="dxa"/>
            <w:tcBorders>
              <w:top w:val="single" w:sz="4"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Pr="0021419A" w:rsidRDefault="0021419A">
            <w:pPr>
              <w:pStyle w:val="Copy"/>
              <w:rPr>
                <w:rFonts w:ascii="Arial" w:hAnsi="Arial"/>
                <w:b/>
              </w:rPr>
            </w:pPr>
            <w:r w:rsidRPr="0021419A">
              <w:rPr>
                <w:rStyle w:val="Copyreg"/>
                <w:rFonts w:ascii="Arial" w:hAnsi="Arial" w:cs="ArialMT"/>
                <w:b/>
              </w:rPr>
              <w:t>Inside</w:t>
            </w:r>
          </w:p>
        </w:tc>
        <w:tc>
          <w:tcPr>
            <w:tcW w:w="1152" w:type="dxa"/>
            <w:tcBorders>
              <w:top w:val="single" w:sz="4"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Exits are clear.</w:t>
            </w:r>
          </w:p>
        </w:tc>
        <w:tc>
          <w:tcPr>
            <w:tcW w:w="1152"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Heaters are guarded.</w:t>
            </w:r>
          </w:p>
        </w:tc>
        <w:tc>
          <w:tcPr>
            <w:tcW w:w="1152"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r w:rsidR="0021419A" w:rsidTr="0021419A">
        <w:tblPrEx>
          <w:tblCellMar>
            <w:top w:w="0" w:type="dxa"/>
            <w:left w:w="0" w:type="dxa"/>
            <w:bottom w:w="0" w:type="dxa"/>
            <w:right w:w="0" w:type="dxa"/>
          </w:tblCellMar>
        </w:tblPrEx>
        <w:trPr>
          <w:trHeight w:val="60"/>
        </w:trPr>
        <w:tc>
          <w:tcPr>
            <w:tcW w:w="8504"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340" w:type="dxa"/>
            </w:tcMar>
          </w:tcPr>
          <w:p w:rsidR="0021419A" w:rsidRDefault="0021419A">
            <w:pPr>
              <w:pStyle w:val="Copy"/>
            </w:pPr>
            <w:r>
              <w:rPr>
                <w:rFonts w:ascii="ArialMT" w:hAnsi="ArialMT" w:cs="ArialMT"/>
              </w:rPr>
              <w:t>No hazardous materials are within reach of children.</w:t>
            </w:r>
          </w:p>
        </w:tc>
        <w:tc>
          <w:tcPr>
            <w:tcW w:w="1152"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0" w:type="dxa"/>
            </w:tcMar>
            <w:vAlign w:val="bottom"/>
          </w:tcPr>
          <w:p w:rsidR="0021419A" w:rsidRDefault="0021419A">
            <w:pPr>
              <w:pStyle w:val="Copy"/>
              <w:tabs>
                <w:tab w:val="left" w:pos="2551"/>
                <w:tab w:val="left" w:pos="2891"/>
                <w:tab w:val="left" w:pos="4252"/>
                <w:tab w:val="left" w:pos="4592"/>
                <w:tab w:val="left" w:pos="5953"/>
                <w:tab w:val="left" w:pos="6293"/>
                <w:tab w:val="left" w:pos="7654"/>
                <w:tab w:val="left" w:pos="7994"/>
              </w:tabs>
              <w:spacing w:after="170"/>
              <w:jc w:val="center"/>
            </w:pPr>
            <w:r>
              <w:rPr>
                <w:rFonts w:ascii="ArialMT" w:hAnsi="ArialMT" w:cs="ArialMT"/>
              </w:rPr>
              <w:sym w:font="Wingdings" w:char="F06F"/>
            </w:r>
          </w:p>
        </w:tc>
      </w:tr>
    </w:tbl>
    <w:p w:rsidR="0021419A" w:rsidRDefault="0021419A" w:rsidP="0021419A">
      <w:pPr>
        <w:pStyle w:val="Copy"/>
        <w:spacing w:after="0"/>
        <w:rPr>
          <w:rFonts w:ascii="ArialMT" w:hAnsi="ArialMT" w:cs="ArialMT"/>
        </w:rPr>
      </w:pPr>
    </w:p>
    <w:p w:rsidR="0021419A" w:rsidRDefault="0021419A" w:rsidP="0021419A">
      <w:pPr>
        <w:pStyle w:val="Sourcefootnote"/>
        <w:rPr>
          <w:rFonts w:ascii="ArialMT" w:hAnsi="ArialMT" w:cs="ArialMT"/>
        </w:rPr>
      </w:pPr>
      <w:r>
        <w:rPr>
          <w:rFonts w:ascii="ArialMT" w:hAnsi="ArialMT" w:cs="ArialMT"/>
        </w:rPr>
        <w:t xml:space="preserve">Information developed by KPV in conjunction with Loddon Mallee Preschool Association </w:t>
      </w:r>
      <w:r>
        <w:rPr>
          <w:rFonts w:ascii="Arial-ItalicMT" w:hAnsi="Arial-ItalicMT" w:cs="Arial-ItalicMT"/>
          <w:i/>
          <w:iCs/>
        </w:rPr>
        <w:t xml:space="preserve">Safety at work – A guide </w:t>
      </w:r>
      <w:r>
        <w:rPr>
          <w:rFonts w:ascii="Arial-ItalicMT" w:hAnsi="Arial-ItalicMT" w:cs="Arial-ItalicMT"/>
          <w:i/>
          <w:iCs/>
        </w:rPr>
        <w:br/>
        <w:t>for kindergarten</w:t>
      </w:r>
      <w:r>
        <w:rPr>
          <w:rFonts w:ascii="ArialMT" w:hAnsi="ArialMT" w:cs="ArialMT"/>
        </w:rPr>
        <w:t>.</w:t>
      </w:r>
    </w:p>
    <w:p w:rsidR="00A031E5" w:rsidRDefault="00A031E5" w:rsidP="00A031E5"/>
    <w:sectPr w:rsidR="00A031E5" w:rsidSect="005E6ECF">
      <w:footerReference w:type="default" r:id="rId4"/>
      <w:pgSz w:w="11900" w:h="16840"/>
      <w:pgMar w:top="1134" w:right="1134" w:bottom="1134" w:left="1134" w:header="709"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URWGroteskT-Medi">
    <w:altName w:val="URWGroteskTMed"/>
    <w:panose1 w:val="00000000000000000000"/>
    <w:charset w:val="4D"/>
    <w:family w:val="auto"/>
    <w:notTrueType/>
    <w:pitch w:val="default"/>
    <w:sig w:usb0="00000003" w:usb1="00000000" w:usb2="00000000" w:usb3="00000000" w:csb0="00000001" w:csb1="00000000"/>
  </w:font>
  <w:font w:name="URWGroteskT-Regu">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31E5" w:rsidRPr="005E6ECF" w:rsidRDefault="00A031E5" w:rsidP="005E6ECF">
    <w:pPr>
      <w:pStyle w:val="Copyright"/>
      <w:rPr>
        <w:rFonts w:ascii="ArialMT" w:hAnsi="ArialMT" w:cs="ArialMT"/>
      </w:rPr>
    </w:pPr>
    <w:r>
      <w:rPr>
        <w:rFonts w:ascii="ArialMT" w:hAnsi="ArialMT" w:cs="ArialMT"/>
      </w:rPr>
      <w:t>© 2011 Kindergarten Parents Victoria</w:t>
    </w:r>
    <w:r>
      <w:rPr>
        <w:rFonts w:ascii="ArialMT" w:hAnsi="ArialMT" w:cs="ArialMT"/>
      </w:rPr>
      <w:br/>
      <w:t xml:space="preserve">Telephone 03 9489 3500 </w:t>
    </w:r>
    <w:r>
      <w:rPr>
        <w:rFonts w:ascii="Arial-ItalicMT" w:hAnsi="Arial-ItalicMT" w:cs="Arial-ItalicMT"/>
        <w:i/>
        <w:iCs/>
      </w:rPr>
      <w:t>or</w:t>
    </w:r>
    <w:r>
      <w:rPr>
        <w:rFonts w:ascii="ArialMT" w:hAnsi="ArialMT" w:cs="ArialMT"/>
      </w:rPr>
      <w:t xml:space="preserve"> 1300 730 119 (rural)</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6ECF"/>
    <w:rsid w:val="0021419A"/>
    <w:rsid w:val="002E498B"/>
    <w:rsid w:val="0037006E"/>
    <w:rsid w:val="005473F2"/>
    <w:rsid w:val="005E6ECF"/>
    <w:rsid w:val="00664670"/>
    <w:rsid w:val="008A66EA"/>
    <w:rsid w:val="00A031E5"/>
    <w:rsid w:val="00B86EF3"/>
    <w:rsid w:val="00F82A06"/>
  </w:rsids>
  <m:mathPr>
    <m:mathFont m:val="Arial Narrow"/>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6ECF"/>
    <w:pPr>
      <w:tabs>
        <w:tab w:val="center" w:pos="4320"/>
        <w:tab w:val="right" w:pos="8640"/>
      </w:tabs>
      <w:spacing w:after="0"/>
    </w:pPr>
  </w:style>
  <w:style w:type="character" w:customStyle="1" w:styleId="HeaderChar">
    <w:name w:val="Header Char"/>
    <w:basedOn w:val="DefaultParagraphFont"/>
    <w:link w:val="Header"/>
    <w:uiPriority w:val="99"/>
    <w:semiHidden/>
    <w:rsid w:val="005E6ECF"/>
  </w:style>
  <w:style w:type="paragraph" w:styleId="Footer">
    <w:name w:val="footer"/>
    <w:basedOn w:val="Normal"/>
    <w:link w:val="FooterChar"/>
    <w:uiPriority w:val="99"/>
    <w:semiHidden/>
    <w:unhideWhenUsed/>
    <w:rsid w:val="005E6ECF"/>
    <w:pPr>
      <w:tabs>
        <w:tab w:val="center" w:pos="4320"/>
        <w:tab w:val="right" w:pos="8640"/>
      </w:tabs>
      <w:spacing w:after="0"/>
    </w:pPr>
  </w:style>
  <w:style w:type="character" w:customStyle="1" w:styleId="FooterChar">
    <w:name w:val="Footer Char"/>
    <w:basedOn w:val="DefaultParagraphFont"/>
    <w:link w:val="Footer"/>
    <w:uiPriority w:val="99"/>
    <w:semiHidden/>
    <w:rsid w:val="005E6ECF"/>
  </w:style>
  <w:style w:type="paragraph" w:customStyle="1" w:styleId="Copyright">
    <w:name w:val="Copyright"/>
    <w:basedOn w:val="Normal"/>
    <w:next w:val="Normal"/>
    <w:uiPriority w:val="99"/>
    <w:rsid w:val="005E6ECF"/>
    <w:pPr>
      <w:widowControl w:val="0"/>
      <w:pBdr>
        <w:top w:val="single" w:sz="4" w:space="9" w:color="auto"/>
      </w:pBdr>
      <w:suppressAutoHyphens/>
      <w:autoSpaceDE w:val="0"/>
      <w:autoSpaceDN w:val="0"/>
      <w:adjustRightInd w:val="0"/>
      <w:spacing w:after="142" w:line="200" w:lineRule="atLeast"/>
      <w:textAlignment w:val="center"/>
    </w:pPr>
    <w:rPr>
      <w:rFonts w:ascii="URWGroteskT-Ligh" w:hAnsi="URWGroteskT-Ligh" w:cs="URWGroteskT-Ligh"/>
      <w:color w:val="000000"/>
      <w:spacing w:val="-2"/>
      <w:sz w:val="16"/>
      <w:szCs w:val="16"/>
      <w:lang w:val="en-GB"/>
    </w:rPr>
  </w:style>
  <w:style w:type="paragraph" w:customStyle="1" w:styleId="Attachmenthead">
    <w:name w:val="Attachment_head"/>
    <w:basedOn w:val="Normal"/>
    <w:next w:val="Normal"/>
    <w:uiPriority w:val="99"/>
    <w:rsid w:val="00A031E5"/>
    <w:pPr>
      <w:widowControl w:val="0"/>
      <w:suppressAutoHyphens/>
      <w:autoSpaceDE w:val="0"/>
      <w:autoSpaceDN w:val="0"/>
      <w:adjustRightInd w:val="0"/>
      <w:spacing w:after="57" w:line="260" w:lineRule="atLeast"/>
      <w:textAlignment w:val="center"/>
    </w:pPr>
    <w:rPr>
      <w:rFonts w:ascii="URWGroteskT-Med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031E5"/>
    <w:pPr>
      <w:widowControl w:val="0"/>
      <w:tabs>
        <w:tab w:val="left" w:pos="440"/>
      </w:tabs>
      <w:suppressAutoHyphens/>
      <w:autoSpaceDE w:val="0"/>
      <w:autoSpaceDN w:val="0"/>
      <w:adjustRightInd w:val="0"/>
      <w:spacing w:before="170" w:after="57" w:line="240" w:lineRule="atLeast"/>
      <w:textAlignment w:val="center"/>
    </w:pPr>
    <w:rPr>
      <w:rFonts w:ascii="URWGroteskT-Regu" w:hAnsi="URWGroteskT-Regu" w:cs="URWGroteskT-Regu"/>
      <w:caps/>
      <w:color w:val="000000"/>
      <w:sz w:val="22"/>
      <w:szCs w:val="22"/>
      <w:lang w:val="en-GB"/>
    </w:rPr>
  </w:style>
  <w:style w:type="paragraph" w:customStyle="1" w:styleId="NoParagraphStyle">
    <w:name w:val="[No Paragraph Style]"/>
    <w:rsid w:val="00A031E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HeadC">
    <w:name w:val="Head C"/>
    <w:basedOn w:val="NoParagraphStyle"/>
    <w:next w:val="NoParagraphStyle"/>
    <w:uiPriority w:val="99"/>
    <w:rsid w:val="00A031E5"/>
    <w:pPr>
      <w:suppressAutoHyphens/>
      <w:spacing w:before="85" w:after="28" w:line="210" w:lineRule="atLeast"/>
    </w:pPr>
    <w:rPr>
      <w:rFonts w:ascii="URWGroteskT-Medi" w:hAnsi="URWGroteskT-Medi" w:cs="URWGroteskT-Medi"/>
      <w:caps/>
      <w:sz w:val="19"/>
      <w:szCs w:val="19"/>
    </w:rPr>
  </w:style>
  <w:style w:type="paragraph" w:customStyle="1" w:styleId="Copy">
    <w:name w:val="Copy"/>
    <w:basedOn w:val="NoParagraphStyle"/>
    <w:next w:val="NoParagraphStyle"/>
    <w:uiPriority w:val="99"/>
    <w:rsid w:val="00A031E5"/>
    <w:pPr>
      <w:suppressAutoHyphens/>
      <w:spacing w:after="142" w:line="260" w:lineRule="atLeast"/>
    </w:pPr>
    <w:rPr>
      <w:rFonts w:ascii="URWGroteskT-Ligh" w:hAnsi="URWGroteskT-Ligh" w:cs="URWGroteskT-Ligh"/>
      <w:spacing w:val="-2"/>
      <w:sz w:val="20"/>
      <w:szCs w:val="20"/>
    </w:rPr>
  </w:style>
  <w:style w:type="paragraph" w:customStyle="1" w:styleId="Copyb4bullet">
    <w:name w:val="Copy_b4 bullet"/>
    <w:basedOn w:val="NoParagraphStyle"/>
    <w:next w:val="NoParagraphStyle"/>
    <w:uiPriority w:val="99"/>
    <w:rsid w:val="00A031E5"/>
    <w:pPr>
      <w:suppressAutoHyphens/>
      <w:spacing w:after="85" w:line="260" w:lineRule="atLeast"/>
    </w:pPr>
    <w:rPr>
      <w:rFonts w:ascii="URWGroteskT-Ligh" w:hAnsi="URWGroteskT-Ligh" w:cs="URWGroteskT-Ligh"/>
      <w:spacing w:val="-2"/>
      <w:sz w:val="20"/>
      <w:szCs w:val="20"/>
    </w:rPr>
  </w:style>
  <w:style w:type="paragraph" w:customStyle="1" w:styleId="Copybullet">
    <w:name w:val="Copy_bullet"/>
    <w:basedOn w:val="NoParagraphStyle"/>
    <w:next w:val="NoParagraphStyle"/>
    <w:uiPriority w:val="99"/>
    <w:rsid w:val="00A031E5"/>
    <w:pPr>
      <w:tabs>
        <w:tab w:val="left" w:pos="198"/>
      </w:tabs>
      <w:suppressAutoHyphens/>
      <w:spacing w:after="85" w:line="260" w:lineRule="atLeast"/>
    </w:pPr>
    <w:rPr>
      <w:rFonts w:ascii="URWGroteskT-Ligh" w:hAnsi="URWGroteskT-Ligh" w:cs="URWGroteskT-Ligh"/>
      <w:spacing w:val="-2"/>
      <w:sz w:val="20"/>
      <w:szCs w:val="20"/>
    </w:rPr>
  </w:style>
  <w:style w:type="paragraph" w:customStyle="1" w:styleId="Copylastbullet">
    <w:name w:val="Copy_last bullet"/>
    <w:basedOn w:val="NoParagraphStyle"/>
    <w:next w:val="NoParagraphStyle"/>
    <w:uiPriority w:val="99"/>
    <w:rsid w:val="00A031E5"/>
    <w:pPr>
      <w:tabs>
        <w:tab w:val="left" w:pos="198"/>
      </w:tabs>
      <w:suppressAutoHyphens/>
      <w:spacing w:after="142" w:line="260" w:lineRule="atLeast"/>
    </w:pPr>
    <w:rPr>
      <w:rFonts w:ascii="URWGroteskT-Ligh" w:hAnsi="URWGroteskT-Ligh" w:cs="URWGroteskT-Ligh"/>
      <w:spacing w:val="-2"/>
      <w:sz w:val="20"/>
      <w:szCs w:val="20"/>
    </w:rPr>
  </w:style>
  <w:style w:type="character" w:customStyle="1" w:styleId="Copyital">
    <w:name w:val="Copy_ital"/>
    <w:uiPriority w:val="99"/>
    <w:rsid w:val="00A031E5"/>
    <w:rPr>
      <w:i/>
      <w:iCs/>
    </w:rPr>
  </w:style>
  <w:style w:type="character" w:customStyle="1" w:styleId="Copyreg">
    <w:name w:val="Copy_reg"/>
    <w:uiPriority w:val="99"/>
    <w:rsid w:val="00A031E5"/>
  </w:style>
  <w:style w:type="paragraph" w:customStyle="1" w:styleId="HeadD">
    <w:name w:val="Head D"/>
    <w:basedOn w:val="NoParagraphStyle"/>
    <w:next w:val="NoParagraphStyle"/>
    <w:uiPriority w:val="99"/>
    <w:rsid w:val="00A031E5"/>
    <w:pPr>
      <w:suppressAutoHyphens/>
      <w:spacing w:before="57" w:after="28" w:line="260" w:lineRule="atLeast"/>
    </w:pPr>
    <w:rPr>
      <w:rFonts w:ascii="URWGroteskT-Medi" w:hAnsi="URWGroteskT-Medi" w:cs="URWGroteskT-Medi"/>
      <w:spacing w:val="-2"/>
      <w:sz w:val="20"/>
      <w:szCs w:val="20"/>
    </w:rPr>
  </w:style>
  <w:style w:type="paragraph" w:customStyle="1" w:styleId="Sourcefootnote">
    <w:name w:val="Source/footnote"/>
    <w:basedOn w:val="NoParagraphStyle"/>
    <w:next w:val="NoParagraphStyle"/>
    <w:uiPriority w:val="99"/>
    <w:rsid w:val="0021419A"/>
    <w:pPr>
      <w:tabs>
        <w:tab w:val="left" w:pos="113"/>
      </w:tabs>
      <w:suppressAutoHyphens/>
      <w:spacing w:after="142" w:line="220" w:lineRule="atLeast"/>
    </w:pPr>
    <w:rPr>
      <w:rFonts w:ascii="URWGroteskT-Ligh" w:hAnsi="URWGroteskT-Ligh" w:cs="URWGroteskT-Ligh"/>
      <w:spacing w:val="-2"/>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1944</Characters>
  <Application>Microsoft Word 12.1.0</Application>
  <DocSecurity>0</DocSecurity>
  <Lines>16</Lines>
  <Paragraphs>3</Paragraphs>
  <ScaleCrop>false</ScaleCrop>
  <Company>KPV</Company>
  <LinksUpToDate>false</LinksUpToDate>
  <CharactersWithSpaces>2387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Saridis</dc:creator>
  <cp:keywords/>
  <cp:lastModifiedBy>Sarah Saridis</cp:lastModifiedBy>
  <cp:revision>3</cp:revision>
  <dcterms:created xsi:type="dcterms:W3CDTF">2011-04-14T02:02:00Z</dcterms:created>
  <dcterms:modified xsi:type="dcterms:W3CDTF">2011-04-14T02:06:00Z</dcterms:modified>
</cp:coreProperties>
</file>